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520" w:lineRule="exact"/>
        <w:jc w:val="center"/>
        <w:rPr>
          <w:rFonts w:ascii="Times New Roman" w:hAnsi="Times New Roman" w:eastAsia="方正小标宋_GBK"/>
          <w:color w:val="0C0C0C"/>
          <w:sz w:val="32"/>
          <w:szCs w:val="32"/>
          <w:u w:color="000000"/>
        </w:rPr>
      </w:pPr>
      <w:bookmarkStart w:id="0" w:name="_Toc27984273"/>
      <w:bookmarkStart w:id="1" w:name="_Toc1714029215"/>
      <w:bookmarkStart w:id="2" w:name="_Toc989442674"/>
      <w:bookmarkStart w:id="3" w:name="_Toc1928623293"/>
      <w:bookmarkStart w:id="4" w:name="_Toc983949643_WPSOffice_Level1"/>
      <w:bookmarkStart w:id="5" w:name="_Toc1682189205"/>
      <w:bookmarkStart w:id="6" w:name="_Toc303834967"/>
      <w:bookmarkStart w:id="7" w:name="_Toc197769102"/>
      <w:bookmarkStart w:id="8" w:name="_Toc51820290"/>
      <w:bookmarkStart w:id="9" w:name="_Toc48258533"/>
      <w:bookmarkStart w:id="10" w:name="_Toc42981887"/>
      <w:bookmarkStart w:id="11" w:name="_Toc2013987015"/>
      <w:bookmarkStart w:id="12" w:name="_Toc1728908978"/>
      <w:r>
        <w:rPr>
          <w:rFonts w:ascii="Times New Roman" w:hAnsi="Times New Roman" w:eastAsia="方正小标宋_GBK"/>
          <w:color w:val="0C0C0C"/>
          <w:sz w:val="32"/>
          <w:szCs w:val="32"/>
          <w:u w:color="000000"/>
        </w:rPr>
        <w:t>中央生态环境保护督察群众信访举报转办和边督边改公开情况一览表</w:t>
      </w:r>
      <w:bookmarkEnd w:id="0"/>
      <w:bookmarkEnd w:id="1"/>
      <w:bookmarkEnd w:id="2"/>
      <w:bookmarkEnd w:id="3"/>
      <w:bookmarkEnd w:id="4"/>
      <w:bookmarkEnd w:id="5"/>
      <w:bookmarkEnd w:id="6"/>
      <w:bookmarkEnd w:id="7"/>
      <w:bookmarkEnd w:id="8"/>
      <w:bookmarkEnd w:id="9"/>
      <w:bookmarkEnd w:id="10"/>
      <w:bookmarkEnd w:id="11"/>
      <w:bookmarkEnd w:id="12"/>
    </w:p>
    <w:p>
      <w:pPr>
        <w:suppressAutoHyphens/>
        <w:snapToGrid w:val="0"/>
        <w:spacing w:line="520" w:lineRule="exact"/>
        <w:jc w:val="center"/>
        <w:rPr>
          <w:rFonts w:ascii="Times New Roman" w:hAnsi="Times New Roman" w:eastAsia="方正仿宋_GBK"/>
          <w:sz w:val="24"/>
        </w:rPr>
      </w:pPr>
      <w:r>
        <w:rPr>
          <w:rFonts w:ascii="Times New Roman" w:hAnsi="Times New Roman" w:eastAsia="方正仿宋_GBK"/>
          <w:sz w:val="24"/>
        </w:rPr>
        <w:t>（第</w:t>
      </w:r>
      <w:r>
        <w:rPr>
          <w:rFonts w:hint="eastAsia" w:ascii="Times New Roman" w:hAnsi="Times New Roman" w:eastAsia="方正仿宋_GBK"/>
          <w:sz w:val="24"/>
          <w:u w:val="single"/>
        </w:rPr>
        <w:t>4</w:t>
      </w:r>
      <w:r>
        <w:rPr>
          <w:rFonts w:ascii="Times New Roman" w:hAnsi="Times New Roman" w:eastAsia="方正仿宋_GBK"/>
          <w:sz w:val="24"/>
        </w:rPr>
        <w:t xml:space="preserve">批   </w:t>
      </w:r>
      <w:r>
        <w:rPr>
          <w:rFonts w:hint="eastAsia" w:ascii="Times New Roman" w:hAnsi="Times New Roman" w:eastAsia="方正仿宋_GBK"/>
          <w:sz w:val="24"/>
          <w:u w:val="single"/>
        </w:rPr>
        <w:t>2024</w:t>
      </w:r>
      <w:r>
        <w:rPr>
          <w:rFonts w:ascii="Times New Roman" w:hAnsi="Times New Roman" w:eastAsia="方正仿宋_GBK"/>
          <w:sz w:val="24"/>
        </w:rPr>
        <w:t>年</w:t>
      </w:r>
      <w:r>
        <w:rPr>
          <w:rFonts w:ascii="Times New Roman" w:hAnsi="Times New Roman" w:eastAsia="方正仿宋_GBK"/>
          <w:sz w:val="24"/>
          <w:u w:val="single"/>
        </w:rPr>
        <w:t>11</w:t>
      </w:r>
      <w:r>
        <w:rPr>
          <w:rFonts w:ascii="Times New Roman" w:hAnsi="Times New Roman" w:eastAsia="方正仿宋_GBK"/>
          <w:sz w:val="24"/>
        </w:rPr>
        <w:t xml:space="preserve">月 </w:t>
      </w:r>
      <w:r>
        <w:rPr>
          <w:rFonts w:ascii="Times New Roman" w:hAnsi="Times New Roman" w:eastAsia="方正仿宋_GBK"/>
          <w:sz w:val="24"/>
          <w:u w:val="single"/>
        </w:rPr>
        <w:t>3</w:t>
      </w:r>
      <w:r>
        <w:rPr>
          <w:rFonts w:ascii="Times New Roman" w:hAnsi="Times New Roman" w:eastAsia="方正仿宋_GBK"/>
          <w:sz w:val="24"/>
        </w:rPr>
        <w:t>日）</w:t>
      </w:r>
    </w:p>
    <w:p>
      <w:pPr>
        <w:suppressAutoHyphens/>
        <w:snapToGrid w:val="0"/>
        <w:spacing w:line="400" w:lineRule="exact"/>
        <w:jc w:val="right"/>
        <w:rPr>
          <w:rFonts w:ascii="Times New Roman" w:hAnsi="Times New Roman" w:eastAsia="方正仿宋_GBK"/>
          <w:sz w:val="24"/>
        </w:rPr>
      </w:pPr>
    </w:p>
    <w:tbl>
      <w:tblPr>
        <w:tblStyle w:val="7"/>
        <w:tblW w:w="152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1526"/>
        <w:gridCol w:w="1249"/>
        <w:gridCol w:w="938"/>
        <w:gridCol w:w="825"/>
        <w:gridCol w:w="3175"/>
        <w:gridCol w:w="775"/>
        <w:gridCol w:w="1113"/>
        <w:gridCol w:w="3025"/>
        <w:gridCol w:w="834"/>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9" w:type="dxa"/>
            <w:vAlign w:val="center"/>
          </w:tcPr>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序号</w:t>
            </w:r>
          </w:p>
        </w:tc>
        <w:tc>
          <w:tcPr>
            <w:tcW w:w="1526" w:type="dxa"/>
            <w:vAlign w:val="center"/>
          </w:tcPr>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受理</w:t>
            </w:r>
          </w:p>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编号</w:t>
            </w:r>
          </w:p>
        </w:tc>
        <w:tc>
          <w:tcPr>
            <w:tcW w:w="1249" w:type="dxa"/>
            <w:vAlign w:val="center"/>
          </w:tcPr>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交办问题</w:t>
            </w:r>
          </w:p>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基本情况</w:t>
            </w:r>
          </w:p>
        </w:tc>
        <w:tc>
          <w:tcPr>
            <w:tcW w:w="938" w:type="dxa"/>
            <w:vAlign w:val="center"/>
          </w:tcPr>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行政</w:t>
            </w:r>
          </w:p>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区域</w:t>
            </w:r>
          </w:p>
        </w:tc>
        <w:tc>
          <w:tcPr>
            <w:tcW w:w="825" w:type="dxa"/>
            <w:vAlign w:val="center"/>
          </w:tcPr>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问题类型</w:t>
            </w:r>
          </w:p>
        </w:tc>
        <w:tc>
          <w:tcPr>
            <w:tcW w:w="3175" w:type="dxa"/>
            <w:vAlign w:val="center"/>
          </w:tcPr>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调查核实情况</w:t>
            </w:r>
          </w:p>
        </w:tc>
        <w:tc>
          <w:tcPr>
            <w:tcW w:w="775" w:type="dxa"/>
            <w:vAlign w:val="center"/>
          </w:tcPr>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是否</w:t>
            </w:r>
          </w:p>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属实</w:t>
            </w:r>
          </w:p>
        </w:tc>
        <w:tc>
          <w:tcPr>
            <w:tcW w:w="1113" w:type="dxa"/>
            <w:vAlign w:val="center"/>
          </w:tcPr>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办结</w:t>
            </w:r>
          </w:p>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目标</w:t>
            </w:r>
          </w:p>
        </w:tc>
        <w:tc>
          <w:tcPr>
            <w:tcW w:w="3025" w:type="dxa"/>
            <w:vAlign w:val="center"/>
          </w:tcPr>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处理和整改</w:t>
            </w:r>
          </w:p>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情况</w:t>
            </w:r>
          </w:p>
        </w:tc>
        <w:tc>
          <w:tcPr>
            <w:tcW w:w="834" w:type="dxa"/>
            <w:vAlign w:val="center"/>
          </w:tcPr>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是否办结</w:t>
            </w:r>
          </w:p>
        </w:tc>
        <w:tc>
          <w:tcPr>
            <w:tcW w:w="1323" w:type="dxa"/>
            <w:vAlign w:val="center"/>
          </w:tcPr>
          <w:p>
            <w:pPr>
              <w:suppressAutoHyphens/>
              <w:snapToGrid w:val="0"/>
              <w:spacing w:line="320" w:lineRule="exact"/>
              <w:jc w:val="center"/>
              <w:rPr>
                <w:rFonts w:ascii="Times New Roman" w:hAnsi="Times New Roman" w:eastAsia="方正仿宋_GBK"/>
                <w:sz w:val="24"/>
              </w:rPr>
            </w:pPr>
            <w:r>
              <w:rPr>
                <w:rFonts w:ascii="Times New Roman" w:hAnsi="Times New Roman" w:eastAsia="方正仿宋_GBK"/>
                <w:sz w:val="24"/>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9" w:type="dxa"/>
            <w:vAlign w:val="center"/>
          </w:tcPr>
          <w:p>
            <w:pPr>
              <w:suppressAutoHyphens/>
              <w:snapToGrid w:val="0"/>
              <w:spacing w:line="320" w:lineRule="exact"/>
              <w:jc w:val="center"/>
              <w:rPr>
                <w:rFonts w:ascii="Times New Roman" w:hAnsi="Times New Roman" w:eastAsia="方正仿宋_GBK"/>
                <w:sz w:val="24"/>
              </w:rPr>
            </w:pPr>
            <w:r>
              <w:rPr>
                <w:rFonts w:hint="eastAsia" w:ascii="Times New Roman" w:hAnsi="Times New Roman" w:eastAsia="方正仿宋_GBK"/>
                <w:sz w:val="24"/>
              </w:rPr>
              <w:t>1</w:t>
            </w:r>
          </w:p>
        </w:tc>
        <w:tc>
          <w:tcPr>
            <w:tcW w:w="1526" w:type="dxa"/>
            <w:vAlign w:val="center"/>
          </w:tcPr>
          <w:p>
            <w:pPr>
              <w:suppressAutoHyphens/>
              <w:snapToGrid w:val="0"/>
              <w:spacing w:line="400" w:lineRule="exact"/>
              <w:jc w:val="center"/>
              <w:rPr>
                <w:rFonts w:ascii="Times New Roman" w:hAnsi="Times New Roman" w:eastAsia="方正仿宋_GBK"/>
                <w:sz w:val="24"/>
              </w:rPr>
            </w:pPr>
            <w:r>
              <w:rPr>
                <w:rFonts w:hint="eastAsia" w:ascii="仿宋_GB2312" w:hAnsi="宋体" w:eastAsia="仿宋_GB2312" w:cs="宋体"/>
                <w:color w:val="333333"/>
                <w:sz w:val="24"/>
                <w:szCs w:val="21"/>
              </w:rPr>
              <w:t>D3ZGSH202410240002、D3ZGSH202410240003、D3ZGSH202410240004、D3ZGSH202410240005、D3ZGSH202410240006、D3ZGSH202410240007、D3ZGSH202410240008、D3ZGSH202410290004、D3ZGSH202410290003</w:t>
            </w:r>
          </w:p>
        </w:tc>
        <w:tc>
          <w:tcPr>
            <w:tcW w:w="1249" w:type="dxa"/>
            <w:vAlign w:val="center"/>
          </w:tcPr>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小区周边有多家化工企业，反映自8月以来，周边小区夜间持续有异味，时间主要集中在凌晨3-4点至7-8点，主要的异味有煤气味、臭鸡蛋味、烧焦味。</w:t>
            </w:r>
          </w:p>
          <w:p>
            <w:pPr>
              <w:suppressAutoHyphens/>
              <w:snapToGrid w:val="0"/>
              <w:spacing w:line="400" w:lineRule="exact"/>
              <w:jc w:val="left"/>
              <w:rPr>
                <w:rFonts w:ascii="仿宋_GB2312" w:hAnsi="宋体" w:eastAsia="仿宋_GB2312" w:cs="宋体"/>
                <w:color w:val="333333"/>
                <w:sz w:val="24"/>
                <w:szCs w:val="21"/>
              </w:rPr>
            </w:pPr>
          </w:p>
          <w:p>
            <w:pPr>
              <w:suppressAutoHyphens/>
              <w:snapToGrid w:val="0"/>
              <w:spacing w:line="400" w:lineRule="exact"/>
              <w:jc w:val="left"/>
              <w:rPr>
                <w:rFonts w:ascii="仿宋_GB2312" w:hAnsi="宋体" w:eastAsia="仿宋_GB2312" w:cs="宋体"/>
                <w:color w:val="333333"/>
                <w:sz w:val="24"/>
                <w:szCs w:val="21"/>
              </w:rPr>
            </w:pPr>
          </w:p>
          <w:p>
            <w:pPr>
              <w:suppressAutoHyphens/>
              <w:snapToGrid w:val="0"/>
              <w:spacing w:line="400" w:lineRule="exact"/>
              <w:jc w:val="left"/>
              <w:rPr>
                <w:rFonts w:ascii="仿宋_GB2312" w:hAnsi="宋体" w:eastAsia="仿宋_GB2312" w:cs="宋体"/>
                <w:color w:val="333333"/>
                <w:sz w:val="24"/>
                <w:szCs w:val="21"/>
              </w:rPr>
            </w:pPr>
          </w:p>
          <w:p>
            <w:pPr>
              <w:suppressAutoHyphens/>
              <w:snapToGrid w:val="0"/>
              <w:spacing w:line="400" w:lineRule="exact"/>
              <w:jc w:val="left"/>
              <w:rPr>
                <w:rFonts w:ascii="仿宋_GB2312" w:hAnsi="宋体" w:eastAsia="仿宋_GB2312" w:cs="宋体"/>
                <w:color w:val="333333"/>
                <w:sz w:val="24"/>
                <w:szCs w:val="21"/>
              </w:rPr>
            </w:pPr>
          </w:p>
          <w:p>
            <w:pPr>
              <w:suppressAutoHyphens/>
              <w:snapToGrid w:val="0"/>
              <w:spacing w:line="400" w:lineRule="exact"/>
              <w:jc w:val="left"/>
              <w:rPr>
                <w:rFonts w:ascii="Times New Roman" w:hAnsi="Times New Roman" w:eastAsia="方正仿宋_GBK"/>
                <w:sz w:val="24"/>
              </w:rPr>
            </w:pPr>
          </w:p>
        </w:tc>
        <w:tc>
          <w:tcPr>
            <w:tcW w:w="938" w:type="dxa"/>
            <w:vAlign w:val="center"/>
          </w:tcPr>
          <w:p>
            <w:pPr>
              <w:suppressAutoHyphens/>
              <w:snapToGrid w:val="0"/>
              <w:spacing w:line="400" w:lineRule="exact"/>
              <w:jc w:val="left"/>
              <w:rPr>
                <w:rFonts w:ascii="Times New Roman" w:hAnsi="Times New Roman" w:eastAsia="方正仿宋_GBK"/>
                <w:sz w:val="24"/>
              </w:rPr>
            </w:pPr>
            <w:r>
              <w:rPr>
                <w:rFonts w:hint="eastAsia" w:ascii="仿宋_GB2312" w:hAnsi="宋体" w:eastAsia="仿宋_GB2312" w:cs="宋体"/>
                <w:color w:val="333333"/>
                <w:sz w:val="24"/>
                <w:szCs w:val="21"/>
              </w:rPr>
              <w:t>武汉市青山区</w:t>
            </w:r>
          </w:p>
        </w:tc>
        <w:tc>
          <w:tcPr>
            <w:tcW w:w="825" w:type="dxa"/>
            <w:tcBorders>
              <w:bottom w:val="single" w:color="auto" w:sz="4" w:space="0"/>
            </w:tcBorders>
            <w:vAlign w:val="center"/>
          </w:tcPr>
          <w:p>
            <w:pPr>
              <w:suppressAutoHyphens/>
              <w:snapToGrid w:val="0"/>
              <w:spacing w:line="400" w:lineRule="exact"/>
              <w:jc w:val="left"/>
              <w:rPr>
                <w:rFonts w:ascii="Times New Roman" w:hAnsi="Times New Roman" w:eastAsia="方正仿宋_GBK"/>
                <w:sz w:val="24"/>
              </w:rPr>
            </w:pPr>
            <w:r>
              <w:rPr>
                <w:rFonts w:hint="eastAsia" w:ascii="仿宋_GB2312" w:hAnsi="宋体" w:eastAsia="仿宋_GB2312" w:cs="宋体"/>
                <w:color w:val="333333"/>
                <w:sz w:val="24"/>
                <w:szCs w:val="21"/>
              </w:rPr>
              <w:t>群众身边的生态环境问题</w:t>
            </w:r>
          </w:p>
        </w:tc>
        <w:tc>
          <w:tcPr>
            <w:tcW w:w="3175" w:type="dxa"/>
            <w:tcBorders>
              <w:bottom w:val="single" w:color="auto" w:sz="4" w:space="0"/>
            </w:tcBorders>
            <w:vAlign w:val="center"/>
          </w:tcPr>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经核查：</w:t>
            </w:r>
          </w:p>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1.针对异味影响时间的核查。信访转办件描述异味存在持续时间较长，且有一定的规律性，大多发生在夜间3-8时，经核查，锦绣前城小区今年6月起，陆续有居民反映有异味。但公司自停工检修以来，仅于10月22日18-22时、10月23日19-23时出现短暂偶发的异味，且异味影响范围较小，经到石化社区调查，情况属实。</w:t>
            </w:r>
          </w:p>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2.对停工检修异味管控措施的检查。停工防异味采取密闭吹扫、投用4套移动VOCs治理设施、钝化清洗、容器和塔器开人孔VOCs监测等措施；青山区生态环境局要求VOCs浓度降至200ppm以下方可打开人孔和放空，公司内部执行120mg/m³（换算为168ppm）。以上措施均有效执行。</w:t>
            </w:r>
          </w:p>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3.针对举报地址的核查。举报地址位于武汉市青山区大华锦绣前城小区、融创临江府小区、热电小区，与中韩石化炼油厂区直线距离4-6km，其中青山区工人村街道距离2km，其间间隔着青山矶、矶头山两座山和多个小区，距离较远。</w:t>
            </w:r>
          </w:p>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4.针对异味性质的核查。信访转办件举报异味为臭鸡蛋味、烧焦味、煤气味。硫化氢气体具有臭鸡蛋气味，但中韩石化未出现硫化氢泄漏情况。关于烧焦气味，公司使用天然气或自产瓦斯气作燃料，不使用煤或焦炭，不应产生烧焦气。公司每天自行对厂界及周边进行两次VOCs走航监测，监测结果均满足厂界VOCs低</w:t>
            </w:r>
            <w:bookmarkStart w:id="13" w:name="_GoBack"/>
            <w:bookmarkEnd w:id="13"/>
            <w:r>
              <w:rPr>
                <w:rFonts w:hint="eastAsia" w:ascii="仿宋_GB2312" w:hAnsi="宋体" w:eastAsia="仿宋_GB2312" w:cs="宋体"/>
                <w:color w:val="333333"/>
                <w:sz w:val="24"/>
                <w:szCs w:val="21"/>
              </w:rPr>
              <w:t>于4mg/m³的要求；武汉市及青山区生态环境局自公司开始停工检修以来，每天对炼油厂界进行走航监测，未反馈存在超标情况。</w:t>
            </w:r>
          </w:p>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5.信访转办件集中指向中韩石化的原因核查。有社区网格员在居民区微信群发布消息，声称燃气味、煤气味和臭鸡蛋味是中韩石化检修引起，并在多个社区转发传播。</w:t>
            </w:r>
          </w:p>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调查结果：1.中韩石化于10月22日18-22时、10月23日19-23时产生两次短暂异味，对周边的石化社区造成一定影响，情况属实。</w:t>
            </w:r>
          </w:p>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2.信访转办件反映的远距离异味问题与中韩石化关联性不强。</w:t>
            </w:r>
          </w:p>
          <w:p>
            <w:pPr>
              <w:suppressAutoHyphens/>
              <w:snapToGrid w:val="0"/>
              <w:spacing w:line="400" w:lineRule="exact"/>
              <w:jc w:val="left"/>
              <w:rPr>
                <w:rFonts w:ascii="Times New Roman" w:hAnsi="Times New Roman" w:eastAsia="方正仿宋_GBK"/>
                <w:sz w:val="24"/>
              </w:rPr>
            </w:pPr>
          </w:p>
        </w:tc>
        <w:tc>
          <w:tcPr>
            <w:tcW w:w="775" w:type="dxa"/>
            <w:vAlign w:val="center"/>
          </w:tcPr>
          <w:p>
            <w:pPr>
              <w:suppressAutoHyphens/>
              <w:snapToGrid w:val="0"/>
              <w:spacing w:line="400" w:lineRule="exact"/>
              <w:jc w:val="center"/>
              <w:rPr>
                <w:rFonts w:hint="eastAsia" w:ascii="Times New Roman" w:hAnsi="Times New Roman" w:eastAsia="方正仿宋_GBK"/>
                <w:sz w:val="24"/>
                <w:lang w:eastAsia="zh-CN"/>
              </w:rPr>
            </w:pPr>
            <w:r>
              <w:rPr>
                <w:rFonts w:hint="eastAsia" w:ascii="仿宋_GB2312" w:hAnsi="宋体" w:eastAsia="仿宋_GB2312" w:cs="宋体"/>
                <w:color w:val="333333"/>
                <w:sz w:val="24"/>
                <w:szCs w:val="21"/>
              </w:rPr>
              <w:t>部分属实</w:t>
            </w:r>
          </w:p>
        </w:tc>
        <w:tc>
          <w:tcPr>
            <w:tcW w:w="1113" w:type="dxa"/>
            <w:vAlign w:val="center"/>
          </w:tcPr>
          <w:p>
            <w:pPr>
              <w:suppressAutoHyphens/>
              <w:snapToGrid w:val="0"/>
              <w:spacing w:line="400" w:lineRule="exact"/>
              <w:jc w:val="center"/>
              <w:rPr>
                <w:rFonts w:ascii="Times New Roman" w:hAnsi="Times New Roman" w:eastAsia="方正仿宋_GBK"/>
                <w:sz w:val="24"/>
              </w:rPr>
            </w:pPr>
            <w:r>
              <w:rPr>
                <w:rFonts w:hint="eastAsia" w:ascii="仿宋_GB2312" w:hAnsi="宋体" w:eastAsia="仿宋_GB2312" w:cs="宋体"/>
                <w:color w:val="333333"/>
                <w:sz w:val="24"/>
                <w:szCs w:val="21"/>
              </w:rPr>
              <w:t>建立更严格的异味措施消除现场异味；不因异味问题影响周边社区。</w:t>
            </w:r>
          </w:p>
        </w:tc>
        <w:tc>
          <w:tcPr>
            <w:tcW w:w="3025" w:type="dxa"/>
            <w:vAlign w:val="center"/>
          </w:tcPr>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1.对停工检修的偶发异味即时整改，举一反三全面排查。</w:t>
            </w:r>
          </w:p>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2.进一步完善绿色检修异味管控措施，严格落实，加大检查与监测。</w:t>
            </w:r>
          </w:p>
          <w:p>
            <w:pPr>
              <w:suppressAutoHyphens/>
              <w:snapToGrid w:val="0"/>
              <w:spacing w:line="400" w:lineRule="exact"/>
              <w:jc w:val="left"/>
              <w:rPr>
                <w:rFonts w:ascii="仿宋_GB2312" w:hAnsi="宋体" w:eastAsia="仿宋_GB2312" w:cs="宋体"/>
                <w:color w:val="333333"/>
                <w:sz w:val="24"/>
                <w:szCs w:val="21"/>
              </w:rPr>
            </w:pPr>
            <w:r>
              <w:rPr>
                <w:rFonts w:hint="eastAsia" w:ascii="仿宋_GB2312" w:hAnsi="宋体" w:eastAsia="仿宋_GB2312" w:cs="宋体"/>
                <w:color w:val="333333"/>
                <w:sz w:val="24"/>
                <w:szCs w:val="21"/>
              </w:rPr>
              <w:t>3.配合地方政府召开企地联动协调会，消除不实信息的负面影响，并对街道、社区加强有关信息的宣传引导。</w:t>
            </w:r>
          </w:p>
          <w:p>
            <w:pPr>
              <w:suppressAutoHyphens/>
              <w:snapToGrid w:val="0"/>
              <w:spacing w:line="400" w:lineRule="exact"/>
              <w:jc w:val="left"/>
              <w:rPr>
                <w:rFonts w:ascii="Times New Roman" w:hAnsi="Times New Roman" w:eastAsia="方正仿宋_GBK"/>
                <w:sz w:val="24"/>
              </w:rPr>
            </w:pPr>
            <w:r>
              <w:rPr>
                <w:rFonts w:hint="eastAsia" w:ascii="仿宋_GB2312" w:hAnsi="宋体" w:eastAsia="仿宋_GB2312" w:cs="宋体"/>
                <w:color w:val="333333"/>
                <w:sz w:val="24"/>
                <w:szCs w:val="21"/>
              </w:rPr>
              <w:t>4.重视周边居民关切，主动邀请周边社区居民参与监督，及时回应关切。</w:t>
            </w:r>
          </w:p>
        </w:tc>
        <w:tc>
          <w:tcPr>
            <w:tcW w:w="834" w:type="dxa"/>
            <w:vAlign w:val="center"/>
          </w:tcPr>
          <w:p>
            <w:pPr>
              <w:suppressAutoHyphens/>
              <w:snapToGrid w:val="0"/>
              <w:spacing w:line="400" w:lineRule="exact"/>
              <w:jc w:val="center"/>
              <w:rPr>
                <w:rFonts w:ascii="Times New Roman" w:hAnsi="Times New Roman" w:eastAsia="方正仿宋_GBK"/>
                <w:sz w:val="24"/>
              </w:rPr>
            </w:pPr>
            <w:r>
              <w:rPr>
                <w:rFonts w:hint="eastAsia" w:ascii="仿宋_GB2312" w:hAnsi="宋体" w:eastAsia="仿宋_GB2312" w:cs="宋体"/>
                <w:color w:val="333333"/>
                <w:sz w:val="24"/>
                <w:szCs w:val="21"/>
              </w:rPr>
              <w:t>是</w:t>
            </w:r>
          </w:p>
        </w:tc>
        <w:tc>
          <w:tcPr>
            <w:tcW w:w="1323" w:type="dxa"/>
            <w:vAlign w:val="center"/>
          </w:tcPr>
          <w:p>
            <w:pPr>
              <w:suppressAutoHyphens/>
              <w:snapToGrid w:val="0"/>
              <w:spacing w:line="400" w:lineRule="exact"/>
              <w:jc w:val="center"/>
              <w:rPr>
                <w:rFonts w:ascii="Times New Roman" w:hAnsi="Times New Roman" w:eastAsia="方正仿宋_GBK"/>
                <w:sz w:val="24"/>
              </w:rPr>
            </w:pPr>
            <w:r>
              <w:rPr>
                <w:rFonts w:hint="eastAsia" w:ascii="仿宋_GB2312" w:hAnsi="宋体" w:eastAsia="仿宋_GB2312" w:cs="宋体"/>
                <w:color w:val="333333"/>
                <w:sz w:val="24"/>
                <w:szCs w:val="21"/>
              </w:rPr>
              <w:t>无</w:t>
            </w:r>
          </w:p>
        </w:tc>
      </w:tr>
    </w:tbl>
    <w:p/>
    <w:sectPr>
      <w:footerReference r:id="rId3" w:type="default"/>
      <w:pgSz w:w="16838" w:h="11906" w:orient="landscape"/>
      <w:pgMar w:top="1803" w:right="1440" w:bottom="1803" w:left="144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59C52AD"/>
    <w:rsid w:val="000E4069"/>
    <w:rsid w:val="00164055"/>
    <w:rsid w:val="0022229B"/>
    <w:rsid w:val="00593877"/>
    <w:rsid w:val="009A60DA"/>
    <w:rsid w:val="040D3575"/>
    <w:rsid w:val="059C52AD"/>
    <w:rsid w:val="088F1FB3"/>
    <w:rsid w:val="08D12264"/>
    <w:rsid w:val="0A6D0727"/>
    <w:rsid w:val="0A6F5721"/>
    <w:rsid w:val="0C4D4E59"/>
    <w:rsid w:val="11A823DC"/>
    <w:rsid w:val="155142DE"/>
    <w:rsid w:val="1AF33047"/>
    <w:rsid w:val="220531CB"/>
    <w:rsid w:val="26FB36A8"/>
    <w:rsid w:val="3E0B13FA"/>
    <w:rsid w:val="47AC0164"/>
    <w:rsid w:val="495E54DA"/>
    <w:rsid w:val="4E175AC4"/>
    <w:rsid w:val="562F6FF7"/>
    <w:rsid w:val="65FE7137"/>
    <w:rsid w:val="6FF05531"/>
    <w:rsid w:val="730C2C74"/>
    <w:rsid w:val="7BE17FFE"/>
    <w:rsid w:val="7E855524"/>
    <w:rsid w:val="7FD2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缩进1"/>
    <w:next w:val="3"/>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toc 1"/>
    <w:basedOn w:val="1"/>
    <w:next w:val="1"/>
    <w:qFormat/>
    <w:uiPriority w:val="39"/>
  </w:style>
  <w:style w:type="paragraph" w:styleId="4">
    <w:name w:val="Normal Indent"/>
    <w:basedOn w:val="1"/>
    <w:unhideWhenUsed/>
    <w:qFormat/>
    <w:uiPriority w:val="99"/>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AB78B5C45297214BAA67419860C1284B" ma:contentTypeVersion="1" ma:contentTypeDescription="新建文档。" ma:contentTypeScope="" ma:versionID="09162bd9d14c05f1d884eb3a54f40b45">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5D89F8-DE8F-43F5-8DA3-8204C084580D}"/>
</file>

<file path=customXml/itemProps2.xml><?xml version="1.0" encoding="utf-8"?>
<ds:datastoreItem xmlns:ds="http://schemas.openxmlformats.org/officeDocument/2006/customXml" ds:itemID="{FFC6E146-3470-4C29-BE80-0DB4DE416C09}"/>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9D41351D-51C2-47B6-8DF4-31EE46A2D6AD}"/>
</file>

<file path=docProps/app.xml><?xml version="1.0" encoding="utf-8"?>
<Properties xmlns="http://schemas.openxmlformats.org/officeDocument/2006/extended-properties" xmlns:vt="http://schemas.openxmlformats.org/officeDocument/2006/docPropsVTypes">
  <Template>Normal</Template>
  <Pages>4</Pages>
  <Words>205</Words>
  <Characters>1169</Characters>
  <Lines>9</Lines>
  <Paragraphs>2</Paragraphs>
  <TotalTime>0</TotalTime>
  <ScaleCrop>false</ScaleCrop>
  <LinksUpToDate>false</LinksUpToDate>
  <CharactersWithSpaces>1372</CharactersWithSpaces>
  <Application>WPS Office_11.8.0.16981_F1E327BC-269C-435d-A152-05C5408002CA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董晓婉</dc:creator>
  <cp:lastModifiedBy>user</cp:lastModifiedBy>
  <cp:revision>4</cp:revision>
  <dcterms:created xsi:type="dcterms:W3CDTF">2024-11-01T06:28:00Z</dcterms:created>
  <dcterms:modified xsi:type="dcterms:W3CDTF">2024-11-01T10:34:56Z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2052-11.8.0.16981</vt:lpwstr>
  </property>
  <property fmtid="{D5CDD505-2E9C-101B-9397-08002B2CF9AE}" pid="3" name="ICV">
    <vt:lpwstr>05DE9FD874034FC1BAD4463CF3D1E8C3</vt:lpwstr>
  </property>
  <property fmtid="{D5CDD505-2E9C-101B-9397-08002B2CF9AE}" pid="4" name="ContentTypeId">
    <vt:lpwstr>0x010100AB78B5C45297214BAA67419860C1284B</vt:lpwstr>
  </property>
</Properties>
</file>